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C0" w:rsidRPr="0002731D" w:rsidRDefault="001C7B3C" w:rsidP="0002731D">
      <w:p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>Puesto que la especies es anual y no se conoce la capacidad germinativa y la viabilidad del banco de semillas del suelo</w:t>
      </w:r>
      <w:r w:rsidR="00E95BDD" w:rsidRPr="0002731D">
        <w:rPr>
          <w:rFonts w:ascii="Times New Roman" w:hAnsi="Times New Roman" w:cs="Times New Roman"/>
          <w:sz w:val="24"/>
          <w:szCs w:val="24"/>
        </w:rPr>
        <w:t xml:space="preserve"> (Herreros </w:t>
      </w:r>
      <w:r w:rsidR="00E95BDD" w:rsidRPr="0002731D">
        <w:rPr>
          <w:rFonts w:ascii="Times New Roman" w:hAnsi="Times New Roman" w:cs="Times New Roman"/>
          <w:i/>
          <w:sz w:val="24"/>
          <w:szCs w:val="24"/>
        </w:rPr>
        <w:t>et al</w:t>
      </w:r>
      <w:r w:rsidR="00E95BDD" w:rsidRPr="0002731D">
        <w:rPr>
          <w:rFonts w:ascii="Times New Roman" w:hAnsi="Times New Roman" w:cs="Times New Roman"/>
          <w:sz w:val="24"/>
          <w:szCs w:val="24"/>
        </w:rPr>
        <w:t>., 2008)</w:t>
      </w:r>
      <w:r w:rsidRPr="0002731D">
        <w:rPr>
          <w:rFonts w:ascii="Times New Roman" w:hAnsi="Times New Roman" w:cs="Times New Roman"/>
          <w:sz w:val="24"/>
          <w:szCs w:val="24"/>
        </w:rPr>
        <w:t>, solo podemos trabajar con una clase de edad, lo que nos impide el empleo de modelizaciones con matrices de transición y otros modelos demográficos. Sin embargo, la tasa finita de crecimiento, el número de individuos del último año y el número de individuos de las parcelas son un dato con el que trabajar.</w:t>
      </w:r>
    </w:p>
    <w:p w:rsidR="001C7B3C" w:rsidRPr="0002731D" w:rsidRDefault="00E95BDD" w:rsidP="0002731D">
      <w:p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 xml:space="preserve">Puesto que el </w:t>
      </w:r>
      <w:r w:rsidR="00594A73" w:rsidRPr="0002731D">
        <w:rPr>
          <w:rFonts w:ascii="Times New Roman" w:hAnsi="Times New Roman" w:cs="Times New Roman"/>
          <w:sz w:val="24"/>
          <w:szCs w:val="24"/>
        </w:rPr>
        <w:t xml:space="preserve">número de individuos de la población de </w:t>
      </w:r>
      <w:proofErr w:type="spellStart"/>
      <w:r w:rsidR="00594A73" w:rsidRPr="0002731D">
        <w:rPr>
          <w:rFonts w:ascii="Times New Roman" w:hAnsi="Times New Roman" w:cs="Times New Roman"/>
          <w:sz w:val="24"/>
          <w:szCs w:val="24"/>
        </w:rPr>
        <w:t>Parcent</w:t>
      </w:r>
      <w:proofErr w:type="spellEnd"/>
      <w:r w:rsidR="00594A73" w:rsidRPr="0002731D">
        <w:rPr>
          <w:rFonts w:ascii="Times New Roman" w:hAnsi="Times New Roman" w:cs="Times New Roman"/>
          <w:sz w:val="24"/>
          <w:szCs w:val="24"/>
        </w:rPr>
        <w:t xml:space="preserve"> en el último año de estudio es de 78 y en las parcelas de estudio tenemos 63, se entiende que tenemos un porcentaje de 80,8% de individuos dentro de las parcelas. Este dato nos ha ayudado a </w:t>
      </w:r>
      <w:proofErr w:type="spellStart"/>
      <w:r w:rsidR="00594A73" w:rsidRPr="0002731D">
        <w:rPr>
          <w:rFonts w:ascii="Times New Roman" w:hAnsi="Times New Roman" w:cs="Times New Roman"/>
          <w:sz w:val="24"/>
          <w:szCs w:val="24"/>
        </w:rPr>
        <w:t>modelizar</w:t>
      </w:r>
      <w:proofErr w:type="spellEnd"/>
      <w:r w:rsidR="00594A73" w:rsidRPr="0002731D">
        <w:rPr>
          <w:rFonts w:ascii="Times New Roman" w:hAnsi="Times New Roman" w:cs="Times New Roman"/>
          <w:sz w:val="24"/>
          <w:szCs w:val="24"/>
        </w:rPr>
        <w:t xml:space="preserve"> el número de individuos de la población para todos los años de estudio.</w:t>
      </w:r>
    </w:p>
    <w:p w:rsidR="00594A73" w:rsidRPr="0002731D" w:rsidRDefault="00B02F4C" w:rsidP="0002731D">
      <w:p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 xml:space="preserve">Presentamos las siguiente gráfica que nos muestra la variabilidad anual de la planta en </w:t>
      </w:r>
      <w:proofErr w:type="spellStart"/>
      <w:r w:rsidRPr="0002731D">
        <w:rPr>
          <w:rFonts w:ascii="Times New Roman" w:hAnsi="Times New Roman" w:cs="Times New Roman"/>
          <w:sz w:val="24"/>
          <w:szCs w:val="24"/>
        </w:rPr>
        <w:t>Parcent</w:t>
      </w:r>
      <w:proofErr w:type="spellEnd"/>
      <w:r w:rsidRPr="0002731D">
        <w:rPr>
          <w:rFonts w:ascii="Times New Roman" w:hAnsi="Times New Roman" w:cs="Times New Roman"/>
          <w:sz w:val="24"/>
          <w:szCs w:val="24"/>
        </w:rPr>
        <w:t>.</w:t>
      </w:r>
    </w:p>
    <w:p w:rsidR="00A9055F" w:rsidRPr="0002731D" w:rsidRDefault="0002731D" w:rsidP="0002731D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13970</wp:posOffset>
            </wp:positionV>
            <wp:extent cx="4912995" cy="2710815"/>
            <wp:effectExtent l="19050" t="0" r="20955" b="0"/>
            <wp:wrapSquare wrapText="bothSides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02731D">
        <w:rPr>
          <w:sz w:val="20"/>
        </w:rPr>
        <w:t xml:space="preserve">Gráfico 1: Población de </w:t>
      </w:r>
      <w:proofErr w:type="spellStart"/>
      <w:r w:rsidRPr="0002731D">
        <w:rPr>
          <w:sz w:val="20"/>
        </w:rPr>
        <w:t>Parcent</w:t>
      </w:r>
      <w:proofErr w:type="spellEnd"/>
      <w:r w:rsidRPr="0002731D">
        <w:rPr>
          <w:sz w:val="20"/>
        </w:rPr>
        <w:t xml:space="preserve"> de 2001 a 2006</w:t>
      </w:r>
    </w:p>
    <w:p w:rsidR="0002731D" w:rsidRDefault="0002731D"/>
    <w:p w:rsidR="00A9055F" w:rsidRPr="0002731D" w:rsidRDefault="00A9055F" w:rsidP="0002731D">
      <w:pPr>
        <w:jc w:val="both"/>
        <w:rPr>
          <w:rFonts w:ascii="Times New Roman" w:hAnsi="Times New Roman" w:cs="Times New Roman"/>
          <w:sz w:val="24"/>
        </w:rPr>
      </w:pPr>
      <w:r w:rsidRPr="0002731D">
        <w:rPr>
          <w:rFonts w:ascii="Times New Roman" w:hAnsi="Times New Roman" w:cs="Times New Roman"/>
          <w:sz w:val="24"/>
        </w:rPr>
        <w:t xml:space="preserve">Conociendo los datos del número de individuos de la población en los últimos años podemos obtener la tasa de crecimiento finita que se nos daba igualmente por Herreros </w:t>
      </w:r>
      <w:r w:rsidRPr="0002731D">
        <w:rPr>
          <w:rFonts w:ascii="Times New Roman" w:hAnsi="Times New Roman" w:cs="Times New Roman"/>
          <w:i/>
          <w:sz w:val="24"/>
        </w:rPr>
        <w:t>et al.</w:t>
      </w:r>
      <w:r w:rsidRPr="0002731D">
        <w:rPr>
          <w:rFonts w:ascii="Times New Roman" w:hAnsi="Times New Roman" w:cs="Times New Roman"/>
          <w:sz w:val="24"/>
        </w:rPr>
        <w:t xml:space="preserve"> (2008).</w:t>
      </w:r>
    </w:p>
    <w:p w:rsidR="00A9055F" w:rsidRPr="0002731D" w:rsidRDefault="00A9055F" w:rsidP="0002731D">
      <w:pPr>
        <w:jc w:val="both"/>
        <w:rPr>
          <w:rFonts w:ascii="Times New Roman" w:hAnsi="Times New Roman" w:cs="Times New Roman"/>
          <w:sz w:val="24"/>
        </w:rPr>
      </w:pPr>
      <w:r w:rsidRPr="0002731D">
        <w:rPr>
          <w:rFonts w:ascii="Times New Roman" w:hAnsi="Times New Roman" w:cs="Times New Roman"/>
          <w:sz w:val="24"/>
        </w:rPr>
        <w:t xml:space="preserve">El valor medio se sitúa en 0,422, lo que nos muestra que la especie está en declive y tiende a desaparecer con un 27% de probabilidad en 10 años, 47% en 20 años y 89% en 100 años (Herreros </w:t>
      </w:r>
      <w:r w:rsidRPr="0002731D">
        <w:rPr>
          <w:rFonts w:ascii="Times New Roman" w:hAnsi="Times New Roman" w:cs="Times New Roman"/>
          <w:i/>
          <w:sz w:val="24"/>
        </w:rPr>
        <w:t>et al</w:t>
      </w:r>
      <w:r w:rsidRPr="0002731D">
        <w:rPr>
          <w:rFonts w:ascii="Times New Roman" w:hAnsi="Times New Roman" w:cs="Times New Roman"/>
          <w:sz w:val="24"/>
        </w:rPr>
        <w:t>., 2008). Esto queda reflejado en la siguiente gráfica:</w:t>
      </w:r>
    </w:p>
    <w:p w:rsidR="00A9055F" w:rsidRDefault="00A9055F"/>
    <w:p w:rsidR="00A9055F" w:rsidRDefault="00A9055F"/>
    <w:p w:rsidR="00A9055F" w:rsidRDefault="00A9055F"/>
    <w:p w:rsidR="0002731D" w:rsidRDefault="0002731D">
      <w:r>
        <w:rPr>
          <w:noProof/>
          <w:lang w:eastAsia="es-ES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-232410</wp:posOffset>
            </wp:positionV>
            <wp:extent cx="4382770" cy="2106930"/>
            <wp:effectExtent l="19050" t="0" r="17780" b="762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02731D" w:rsidRDefault="0002731D"/>
    <w:p w:rsidR="0002731D" w:rsidRDefault="0002731D"/>
    <w:p w:rsidR="0002731D" w:rsidRDefault="0002731D"/>
    <w:p w:rsidR="0002731D" w:rsidRDefault="0002731D"/>
    <w:p w:rsidR="0002731D" w:rsidRDefault="0002731D"/>
    <w:p w:rsidR="0002731D" w:rsidRPr="0002731D" w:rsidRDefault="0002731D">
      <w:pPr>
        <w:rPr>
          <w:rFonts w:ascii="Times New Roman" w:hAnsi="Times New Roman" w:cs="Times New Roman"/>
          <w:sz w:val="20"/>
        </w:rPr>
      </w:pPr>
      <w:r w:rsidRPr="0002731D">
        <w:rPr>
          <w:rFonts w:ascii="Times New Roman" w:hAnsi="Times New Roman" w:cs="Times New Roman"/>
          <w:sz w:val="20"/>
        </w:rPr>
        <w:t>Gráfica 2: Tendencia poblacional</w:t>
      </w:r>
    </w:p>
    <w:p w:rsidR="00804076" w:rsidRPr="0002731D" w:rsidRDefault="00804076" w:rsidP="0002731D">
      <w:p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>En las siguiente modelizaciones pretendemos reflejar lo que pasaría si:</w:t>
      </w:r>
    </w:p>
    <w:p w:rsidR="00804076" w:rsidRPr="0002731D" w:rsidRDefault="00804076" w:rsidP="0002731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 xml:space="preserve">Sólo se actuara con medidas de protección. Como hemos indicado, actuando únicamente sobre las medidas de protección pretendemos elevar el valor de la tasa de crecimiento finito a 2,7. Por lo que se puede ver en la gráfica, el número de individuos crecería pero lo haría de forma más lenta a lo deseado, teniendo en cuenta que es una especie anual con fluctuaciones. Estas fluctuaciones no quedan reflejadas en la gráfica ya que sólo </w:t>
      </w:r>
      <w:r w:rsidR="00E27D15" w:rsidRPr="0002731D">
        <w:rPr>
          <w:rFonts w:ascii="Times New Roman" w:hAnsi="Times New Roman" w:cs="Times New Roman"/>
          <w:sz w:val="24"/>
          <w:szCs w:val="24"/>
        </w:rPr>
        <w:t>tratamos la tendencia.</w:t>
      </w:r>
    </w:p>
    <w:p w:rsidR="000317D8" w:rsidRDefault="0002731D" w:rsidP="000317D8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115570</wp:posOffset>
            </wp:positionV>
            <wp:extent cx="4083685" cy="2289810"/>
            <wp:effectExtent l="19050" t="0" r="12065" b="0"/>
            <wp:wrapSquare wrapText="bothSides"/>
            <wp:docPr id="4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0317D8" w:rsidRDefault="000317D8" w:rsidP="000317D8"/>
    <w:p w:rsidR="000317D8" w:rsidRDefault="000317D8" w:rsidP="000317D8"/>
    <w:p w:rsidR="000317D8" w:rsidRDefault="000317D8" w:rsidP="000317D8"/>
    <w:p w:rsidR="000317D8" w:rsidRDefault="000317D8" w:rsidP="000317D8"/>
    <w:p w:rsidR="000317D8" w:rsidRDefault="000317D8" w:rsidP="000317D8"/>
    <w:p w:rsidR="000317D8" w:rsidRDefault="000317D8" w:rsidP="000317D8"/>
    <w:p w:rsidR="000317D8" w:rsidRDefault="000317D8" w:rsidP="000317D8"/>
    <w:p w:rsidR="0002731D" w:rsidRPr="0002731D" w:rsidRDefault="0002731D" w:rsidP="000317D8">
      <w:pPr>
        <w:rPr>
          <w:rFonts w:ascii="Times New Roman" w:hAnsi="Times New Roman" w:cs="Times New Roman"/>
          <w:sz w:val="20"/>
        </w:rPr>
      </w:pPr>
      <w:r w:rsidRPr="0002731D">
        <w:rPr>
          <w:rFonts w:ascii="Times New Roman" w:hAnsi="Times New Roman" w:cs="Times New Roman"/>
          <w:sz w:val="20"/>
        </w:rPr>
        <w:t>Gráfica 3: Tendencia poblacional tras la protección</w:t>
      </w:r>
    </w:p>
    <w:p w:rsidR="000317D8" w:rsidRPr="0002731D" w:rsidRDefault="000317D8" w:rsidP="0002731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31D">
        <w:rPr>
          <w:rFonts w:ascii="Times New Roman" w:hAnsi="Times New Roman" w:cs="Times New Roman"/>
          <w:sz w:val="24"/>
          <w:szCs w:val="24"/>
        </w:rPr>
        <w:t>Se actuara en protección y en refuerzo pero con un fracaso en el mismo. Hemos querido unir en la siguiente gráfica los casos de protección y protección y refuerzo fracasado para ver también intentar ver la variabilidad de la especie si tomamos ambas gráficas.</w:t>
      </w:r>
    </w:p>
    <w:p w:rsidR="000317D8" w:rsidRDefault="000317D8" w:rsidP="000317D8"/>
    <w:p w:rsidR="000317D8" w:rsidRDefault="000317D8" w:rsidP="000317D8">
      <w:r w:rsidRPr="000317D8"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-33655</wp:posOffset>
            </wp:positionV>
            <wp:extent cx="4719320" cy="2719705"/>
            <wp:effectExtent l="19050" t="0" r="24130" b="4445"/>
            <wp:wrapSquare wrapText="bothSides"/>
            <wp:docPr id="6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0317D8" w:rsidRDefault="000317D8" w:rsidP="000317D8"/>
    <w:p w:rsidR="000317D8" w:rsidRDefault="000317D8" w:rsidP="000317D8"/>
    <w:p w:rsidR="0002731D" w:rsidRDefault="0002731D" w:rsidP="000317D8"/>
    <w:p w:rsidR="0002731D" w:rsidRDefault="0002731D" w:rsidP="000317D8"/>
    <w:p w:rsidR="0002731D" w:rsidRDefault="0002731D" w:rsidP="000317D8"/>
    <w:p w:rsidR="0002731D" w:rsidRDefault="0002731D" w:rsidP="000317D8"/>
    <w:p w:rsidR="0002731D" w:rsidRDefault="0002731D" w:rsidP="000317D8"/>
    <w:p w:rsidR="0002731D" w:rsidRDefault="0002731D" w:rsidP="000317D8"/>
    <w:p w:rsidR="0002731D" w:rsidRPr="0002731D" w:rsidRDefault="0002731D" w:rsidP="000317D8">
      <w:pPr>
        <w:rPr>
          <w:rFonts w:ascii="Times New Roman" w:hAnsi="Times New Roman" w:cs="Times New Roman"/>
          <w:sz w:val="20"/>
        </w:rPr>
      </w:pPr>
      <w:r w:rsidRPr="0002731D">
        <w:rPr>
          <w:rFonts w:ascii="Times New Roman" w:hAnsi="Times New Roman" w:cs="Times New Roman"/>
          <w:sz w:val="20"/>
        </w:rPr>
        <w:t>Gráfica 4: Tendencia poblacional con y sin refuerzo (fracaso) tras la protección</w:t>
      </w:r>
    </w:p>
    <w:p w:rsidR="000317D8" w:rsidRPr="0002731D" w:rsidRDefault="0002731D" w:rsidP="0002731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2009140</wp:posOffset>
            </wp:positionV>
            <wp:extent cx="4780280" cy="3323590"/>
            <wp:effectExtent l="19050" t="0" r="20320" b="0"/>
            <wp:wrapSquare wrapText="bothSides"/>
            <wp:docPr id="7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EA487D" w:rsidRPr="0002731D">
        <w:rPr>
          <w:rFonts w:ascii="Times New Roman" w:hAnsi="Times New Roman" w:cs="Times New Roman"/>
          <w:sz w:val="24"/>
          <w:szCs w:val="24"/>
        </w:rPr>
        <w:t xml:space="preserve">Se procurara la protección y el refuerzo con éxito. Como vemos en la gráfica la población crece si límite. Sin embargo, tenemos que tener en cuenta la capacidad de carga. Y sería un factor que limitaría la población de forma importante. No se puede olvidar que se trata de hábitat de </w:t>
      </w:r>
      <w:proofErr w:type="gramStart"/>
      <w:r w:rsidR="00EA487D" w:rsidRPr="0002731D">
        <w:rPr>
          <w:rFonts w:ascii="Times New Roman" w:hAnsi="Times New Roman" w:cs="Times New Roman"/>
          <w:sz w:val="24"/>
          <w:szCs w:val="24"/>
        </w:rPr>
        <w:t>ribazos ,</w:t>
      </w:r>
      <w:proofErr w:type="gramEnd"/>
      <w:r w:rsidR="00EA487D" w:rsidRPr="0002731D">
        <w:rPr>
          <w:rFonts w:ascii="Times New Roman" w:hAnsi="Times New Roman" w:cs="Times New Roman"/>
          <w:sz w:val="24"/>
          <w:szCs w:val="24"/>
        </w:rPr>
        <w:t xml:space="preserve"> lideras, bordes de caminos, etc. Y que acompaña a otras especies dentro de la comunidad. Por ello, es muy importante seguir ampliando el número de fincas en las que trabajar, la superficie de los ribazos, y tener muy presente las poblaciones de </w:t>
      </w:r>
      <w:proofErr w:type="spellStart"/>
      <w:r w:rsidR="00EA487D" w:rsidRPr="0002731D">
        <w:rPr>
          <w:rFonts w:ascii="Times New Roman" w:hAnsi="Times New Roman" w:cs="Times New Roman"/>
          <w:sz w:val="24"/>
          <w:szCs w:val="24"/>
        </w:rPr>
        <w:t>Coll</w:t>
      </w:r>
      <w:proofErr w:type="spellEnd"/>
      <w:r w:rsidR="00EA487D" w:rsidRPr="000273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A487D" w:rsidRPr="0002731D">
        <w:rPr>
          <w:rFonts w:ascii="Times New Roman" w:hAnsi="Times New Roman" w:cs="Times New Roman"/>
          <w:sz w:val="24"/>
          <w:szCs w:val="24"/>
        </w:rPr>
        <w:t>Rates</w:t>
      </w:r>
      <w:proofErr w:type="spellEnd"/>
      <w:r w:rsidR="00EA487D" w:rsidRPr="0002731D">
        <w:rPr>
          <w:rFonts w:ascii="Times New Roman" w:hAnsi="Times New Roman" w:cs="Times New Roman"/>
          <w:sz w:val="24"/>
          <w:szCs w:val="24"/>
        </w:rPr>
        <w:t xml:space="preserve"> y Bernia que al ubicarse en hábitat más abiertos, el límite máximo de crecimiento de la población llegará más tarde.</w:t>
      </w:r>
    </w:p>
    <w:p w:rsidR="00EA487D" w:rsidRPr="0002731D" w:rsidRDefault="0002731D" w:rsidP="00EA487D">
      <w:pPr>
        <w:rPr>
          <w:rFonts w:ascii="Times New Roman" w:hAnsi="Times New Roman" w:cs="Times New Roman"/>
          <w:sz w:val="20"/>
        </w:rPr>
      </w:pPr>
      <w:r w:rsidRPr="0002731D">
        <w:rPr>
          <w:rFonts w:ascii="Times New Roman" w:hAnsi="Times New Roman" w:cs="Times New Roman"/>
          <w:sz w:val="20"/>
        </w:rPr>
        <w:t>Gráfica 4: Todas las posibles tendencias</w:t>
      </w:r>
    </w:p>
    <w:p w:rsidR="007F56F9" w:rsidRPr="00BA5111" w:rsidRDefault="0002731D" w:rsidP="00BA5111">
      <w:pPr>
        <w:jc w:val="both"/>
        <w:rPr>
          <w:rFonts w:ascii="Times New Roman" w:hAnsi="Times New Roman" w:cs="Times New Roman"/>
          <w:sz w:val="20"/>
        </w:rPr>
      </w:pPr>
      <w:r w:rsidRPr="00BA5111">
        <w:rPr>
          <w:rFonts w:ascii="Times New Roman" w:hAnsi="Times New Roman" w:cs="Times New Roman"/>
          <w:sz w:val="20"/>
        </w:rPr>
        <w:lastRenderedPageBreak/>
        <w:t xml:space="preserve">Tabla 1: Modelización demográfica </w:t>
      </w:r>
      <w:r w:rsidR="00BA5111" w:rsidRPr="00BA5111">
        <w:rPr>
          <w:rFonts w:ascii="Times New Roman" w:hAnsi="Times New Roman" w:cs="Times New Roman"/>
          <w:sz w:val="20"/>
        </w:rPr>
        <w:t>para todos los casos</w:t>
      </w:r>
    </w:p>
    <w:tbl>
      <w:tblPr>
        <w:tblStyle w:val="Cuadrculamedia3-nfasis3"/>
        <w:tblW w:w="10422" w:type="dxa"/>
        <w:jc w:val="center"/>
        <w:tblInd w:w="-1701" w:type="dxa"/>
        <w:tblLook w:val="04A0"/>
      </w:tblPr>
      <w:tblGrid>
        <w:gridCol w:w="1539"/>
        <w:gridCol w:w="716"/>
        <w:gridCol w:w="716"/>
        <w:gridCol w:w="716"/>
        <w:gridCol w:w="691"/>
        <w:gridCol w:w="691"/>
        <w:gridCol w:w="691"/>
        <w:gridCol w:w="691"/>
        <w:gridCol w:w="716"/>
        <w:gridCol w:w="716"/>
        <w:gridCol w:w="816"/>
        <w:gridCol w:w="807"/>
        <w:gridCol w:w="916"/>
      </w:tblGrid>
      <w:tr w:rsidR="006770D0" w:rsidRPr="006770D0" w:rsidTr="006770D0">
        <w:trPr>
          <w:cnfStyle w:val="100000000000"/>
          <w:trHeight w:val="300"/>
          <w:jc w:val="center"/>
        </w:trPr>
        <w:tc>
          <w:tcPr>
            <w:cnfStyle w:val="001000000000"/>
            <w:tcW w:w="1539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2001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2002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2003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2004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2005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2006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2007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2008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2009</w:t>
            </w:r>
          </w:p>
        </w:tc>
        <w:tc>
          <w:tcPr>
            <w:tcW w:w="8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2010</w:t>
            </w:r>
          </w:p>
        </w:tc>
        <w:tc>
          <w:tcPr>
            <w:tcW w:w="807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2011</w:t>
            </w:r>
          </w:p>
        </w:tc>
        <w:tc>
          <w:tcPr>
            <w:tcW w:w="9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2012</w:t>
            </w:r>
          </w:p>
        </w:tc>
      </w:tr>
      <w:tr w:rsidR="006770D0" w:rsidRPr="006770D0" w:rsidTr="006770D0">
        <w:trPr>
          <w:cnfStyle w:val="000000100000"/>
          <w:trHeight w:val="300"/>
          <w:jc w:val="center"/>
        </w:trPr>
        <w:tc>
          <w:tcPr>
            <w:cnfStyle w:val="001000000000"/>
            <w:tcW w:w="1539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P</w:t>
            </w: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arcelas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37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24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70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81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12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63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8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807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9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</w:p>
        </w:tc>
      </w:tr>
      <w:tr w:rsidR="006770D0" w:rsidRPr="006770D0" w:rsidTr="006770D0">
        <w:trPr>
          <w:trHeight w:val="300"/>
          <w:jc w:val="center"/>
        </w:trPr>
        <w:tc>
          <w:tcPr>
            <w:cnfStyle w:val="001000000000"/>
            <w:tcW w:w="1539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Población</w:t>
            </w:r>
            <w:r w:rsidR="00BA5111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 xml:space="preserve"> con protección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46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28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87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100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78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211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569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1535</w:t>
            </w:r>
          </w:p>
        </w:tc>
        <w:tc>
          <w:tcPr>
            <w:tcW w:w="8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4145</w:t>
            </w:r>
          </w:p>
        </w:tc>
        <w:tc>
          <w:tcPr>
            <w:tcW w:w="807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11192</w:t>
            </w:r>
          </w:p>
        </w:tc>
        <w:tc>
          <w:tcPr>
            <w:tcW w:w="9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30219</w:t>
            </w:r>
          </w:p>
        </w:tc>
      </w:tr>
      <w:tr w:rsidR="006770D0" w:rsidRPr="006770D0" w:rsidTr="006770D0">
        <w:trPr>
          <w:cnfStyle w:val="000000100000"/>
          <w:trHeight w:val="300"/>
          <w:jc w:val="center"/>
        </w:trPr>
        <w:tc>
          <w:tcPr>
            <w:cnfStyle w:val="001000000000"/>
            <w:tcW w:w="1539" w:type="dxa"/>
            <w:noWrap/>
            <w:vAlign w:val="center"/>
            <w:hideMark/>
          </w:tcPr>
          <w:p w:rsidR="007F56F9" w:rsidRPr="007F56F9" w:rsidRDefault="006770D0" w:rsidP="00677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S</w:t>
            </w:r>
            <w:r w:rsidR="007F56F9"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i el refuerzo muere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46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28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87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100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78</w:t>
            </w:r>
          </w:p>
        </w:tc>
        <w:tc>
          <w:tcPr>
            <w:tcW w:w="691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211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569</w:t>
            </w:r>
          </w:p>
        </w:tc>
        <w:tc>
          <w:tcPr>
            <w:tcW w:w="7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3868</w:t>
            </w:r>
          </w:p>
        </w:tc>
        <w:tc>
          <w:tcPr>
            <w:tcW w:w="8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6478</w:t>
            </w:r>
          </w:p>
        </w:tc>
        <w:tc>
          <w:tcPr>
            <w:tcW w:w="807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13525</w:t>
            </w:r>
          </w:p>
        </w:tc>
        <w:tc>
          <w:tcPr>
            <w:tcW w:w="916" w:type="dxa"/>
            <w:noWrap/>
            <w:vAlign w:val="center"/>
            <w:hideMark/>
          </w:tcPr>
          <w:p w:rsidR="007F56F9" w:rsidRPr="007F56F9" w:rsidRDefault="007F56F9" w:rsidP="006770D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32552</w:t>
            </w:r>
          </w:p>
        </w:tc>
      </w:tr>
      <w:tr w:rsidR="006770D0" w:rsidRPr="006770D0" w:rsidTr="006770D0">
        <w:trPr>
          <w:trHeight w:val="300"/>
          <w:jc w:val="center"/>
        </w:trPr>
        <w:tc>
          <w:tcPr>
            <w:cnfStyle w:val="001000000000"/>
            <w:tcW w:w="1539" w:type="dxa"/>
            <w:noWrap/>
            <w:vAlign w:val="center"/>
            <w:hideMark/>
          </w:tcPr>
          <w:p w:rsidR="006770D0" w:rsidRPr="006770D0" w:rsidRDefault="006770D0" w:rsidP="00677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Si el refuerzo tiene éxito</w:t>
            </w:r>
          </w:p>
        </w:tc>
        <w:tc>
          <w:tcPr>
            <w:tcW w:w="7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46</w:t>
            </w:r>
          </w:p>
        </w:tc>
        <w:tc>
          <w:tcPr>
            <w:tcW w:w="7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28</w:t>
            </w:r>
          </w:p>
        </w:tc>
        <w:tc>
          <w:tcPr>
            <w:tcW w:w="7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87</w:t>
            </w:r>
          </w:p>
        </w:tc>
        <w:tc>
          <w:tcPr>
            <w:tcW w:w="691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100</w:t>
            </w:r>
          </w:p>
        </w:tc>
        <w:tc>
          <w:tcPr>
            <w:tcW w:w="691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691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78</w:t>
            </w:r>
          </w:p>
        </w:tc>
        <w:tc>
          <w:tcPr>
            <w:tcW w:w="691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211</w:t>
            </w:r>
          </w:p>
        </w:tc>
        <w:tc>
          <w:tcPr>
            <w:tcW w:w="7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569</w:t>
            </w:r>
          </w:p>
        </w:tc>
        <w:tc>
          <w:tcPr>
            <w:tcW w:w="7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7F56F9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3868</w:t>
            </w:r>
          </w:p>
        </w:tc>
        <w:tc>
          <w:tcPr>
            <w:tcW w:w="816" w:type="dxa"/>
            <w:noWrap/>
            <w:vAlign w:val="center"/>
            <w:hideMark/>
          </w:tcPr>
          <w:p w:rsidR="006770D0" w:rsidRPr="007F56F9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12777</w:t>
            </w:r>
          </w:p>
        </w:tc>
        <w:tc>
          <w:tcPr>
            <w:tcW w:w="807" w:type="dxa"/>
            <w:noWrap/>
            <w:vAlign w:val="center"/>
            <w:hideMark/>
          </w:tcPr>
          <w:p w:rsidR="006770D0" w:rsidRPr="006770D0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36830</w:t>
            </w:r>
          </w:p>
        </w:tc>
        <w:tc>
          <w:tcPr>
            <w:tcW w:w="916" w:type="dxa"/>
            <w:noWrap/>
            <w:vAlign w:val="center"/>
            <w:hideMark/>
          </w:tcPr>
          <w:p w:rsidR="006770D0" w:rsidRPr="006770D0" w:rsidRDefault="006770D0" w:rsidP="006770D0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</w:pPr>
            <w:r w:rsidRPr="006770D0">
              <w:rPr>
                <w:rFonts w:ascii="Times New Roman" w:eastAsia="Times New Roman" w:hAnsi="Times New Roman" w:cs="Times New Roman"/>
                <w:color w:val="000000"/>
                <w:sz w:val="20"/>
                <w:lang w:eastAsia="es-ES"/>
              </w:rPr>
              <w:t>101774</w:t>
            </w:r>
          </w:p>
        </w:tc>
      </w:tr>
    </w:tbl>
    <w:p w:rsidR="007F56F9" w:rsidRDefault="007F56F9" w:rsidP="00EA487D"/>
    <w:sectPr w:rsidR="007F56F9" w:rsidSect="00BD02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8CD"/>
    <w:multiLevelType w:val="hybridMultilevel"/>
    <w:tmpl w:val="AA1214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7380D"/>
    <w:multiLevelType w:val="hybridMultilevel"/>
    <w:tmpl w:val="51E895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92863"/>
    <w:rsid w:val="0002731D"/>
    <w:rsid w:val="000317D8"/>
    <w:rsid w:val="001C7B3C"/>
    <w:rsid w:val="002E7E57"/>
    <w:rsid w:val="00594A73"/>
    <w:rsid w:val="006770D0"/>
    <w:rsid w:val="00764A4D"/>
    <w:rsid w:val="007F56F9"/>
    <w:rsid w:val="00804076"/>
    <w:rsid w:val="008B5F02"/>
    <w:rsid w:val="00A9055F"/>
    <w:rsid w:val="00B02F4C"/>
    <w:rsid w:val="00BA5111"/>
    <w:rsid w:val="00BD02C0"/>
    <w:rsid w:val="00D92863"/>
    <w:rsid w:val="00E27D15"/>
    <w:rsid w:val="00E95BDD"/>
    <w:rsid w:val="00EA487D"/>
    <w:rsid w:val="00F2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2C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2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2F4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9055F"/>
    <w:pPr>
      <w:ind w:left="720"/>
      <w:contextualSpacing/>
    </w:pPr>
  </w:style>
  <w:style w:type="table" w:styleId="Sombreadomedio2-nfasis3">
    <w:name w:val="Medium Shading 2 Accent 3"/>
    <w:basedOn w:val="Tablanormal"/>
    <w:uiPriority w:val="64"/>
    <w:rsid w:val="007F5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2-nfasis3">
    <w:name w:val="Medium Grid 2 Accent 3"/>
    <w:basedOn w:val="Tablanormal"/>
    <w:uiPriority w:val="68"/>
    <w:rsid w:val="007F56F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3">
    <w:name w:val="Medium Grid 3 Accent 3"/>
    <w:basedOn w:val="Tablanormal"/>
    <w:uiPriority w:val="69"/>
    <w:rsid w:val="007F5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frasia\Documents\M12\Linaria\Libro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frasia\Documents\M12\Linaria\Libro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frasia\Documents\M12\Linaria\Trabajo\Libro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frasia\Documents\M12\Linaria\Trabajo\Libro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frasia\Documents\M12\Linaria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19"/>
  <c:chart>
    <c:plotArea>
      <c:layout/>
      <c:scatterChart>
        <c:scatterStyle val="smoothMarker"/>
        <c:ser>
          <c:idx val="0"/>
          <c:order val="0"/>
          <c:spPr>
            <a:ln w="22225"/>
          </c:spPr>
          <c:marker>
            <c:symbol val="circle"/>
            <c:size val="7"/>
          </c:marker>
          <c:xVal>
            <c:numRef>
              <c:f>Hoja1!$K$19:$K$24</c:f>
              <c:numCache>
                <c:formatCode>General</c:formatCode>
                <c:ptCount val="6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</c:numCache>
            </c:numRef>
          </c:xVal>
          <c:yVal>
            <c:numRef>
              <c:f>Hoja1!$L$19:$L$24</c:f>
              <c:numCache>
                <c:formatCode>General</c:formatCode>
                <c:ptCount val="6"/>
                <c:pt idx="0">
                  <c:v>46</c:v>
                </c:pt>
                <c:pt idx="1">
                  <c:v>28</c:v>
                </c:pt>
                <c:pt idx="2">
                  <c:v>87</c:v>
                </c:pt>
                <c:pt idx="3">
                  <c:v>100</c:v>
                </c:pt>
                <c:pt idx="4">
                  <c:v>15</c:v>
                </c:pt>
                <c:pt idx="5">
                  <c:v>78</c:v>
                </c:pt>
              </c:numCache>
            </c:numRef>
          </c:yVal>
          <c:smooth val="1"/>
        </c:ser>
        <c:axId val="49979392"/>
        <c:axId val="49981696"/>
      </c:scatterChart>
      <c:valAx>
        <c:axId val="49979392"/>
        <c:scaling>
          <c:orientation val="minMax"/>
        </c:scaling>
        <c:axPos val="b"/>
        <c:numFmt formatCode="General" sourceLinked="1"/>
        <c:tickLblPos val="nextTo"/>
        <c:crossAx val="49981696"/>
        <c:crosses val="autoZero"/>
        <c:crossBetween val="midCat"/>
      </c:valAx>
      <c:valAx>
        <c:axId val="49981696"/>
        <c:scaling>
          <c:orientation val="minMax"/>
        </c:scaling>
        <c:axPos val="l"/>
        <c:majorGridlines/>
        <c:numFmt formatCode="General" sourceLinked="1"/>
        <c:tickLblPos val="nextTo"/>
        <c:crossAx val="49979392"/>
        <c:crosses val="autoZero"/>
        <c:crossBetween val="midCat"/>
      </c:valAx>
      <c:spPr>
        <a:noFill/>
      </c:spPr>
    </c:plotArea>
    <c:plotVisOnly val="1"/>
  </c:chart>
  <c:spPr>
    <a:noFill/>
  </c:spPr>
  <c:txPr>
    <a:bodyPr/>
    <a:lstStyle/>
    <a:p>
      <a:pPr>
        <a:defRPr sz="1200">
          <a:solidFill>
            <a:sysClr val="windowText" lastClr="000000"/>
          </a:solidFill>
        </a:defRPr>
      </a:pPr>
      <a:endParaRPr lang="es-E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20"/>
  <c:chart>
    <c:plotArea>
      <c:layout/>
      <c:scatterChart>
        <c:scatterStyle val="smoothMarker"/>
        <c:ser>
          <c:idx val="0"/>
          <c:order val="0"/>
          <c:xVal>
            <c:numRef>
              <c:f>Hoja1!$K$41:$K$47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Hoja1!$L$41:$L$47</c:f>
              <c:numCache>
                <c:formatCode>General</c:formatCode>
                <c:ptCount val="7"/>
                <c:pt idx="0">
                  <c:v>78</c:v>
                </c:pt>
                <c:pt idx="1">
                  <c:v>32.916000000000004</c:v>
                </c:pt>
                <c:pt idx="2">
                  <c:v>13.890552000000017</c:v>
                </c:pt>
                <c:pt idx="3">
                  <c:v>5.8618129439999889</c:v>
                </c:pt>
                <c:pt idx="4">
                  <c:v>2.4736850623680002</c:v>
                </c:pt>
                <c:pt idx="5">
                  <c:v>1.0438950963192932</c:v>
                </c:pt>
                <c:pt idx="6">
                  <c:v>0.44052373064674277</c:v>
                </c:pt>
              </c:numCache>
            </c:numRef>
          </c:yVal>
          <c:smooth val="1"/>
        </c:ser>
        <c:axId val="52452352"/>
        <c:axId val="124510592"/>
      </c:scatterChart>
      <c:valAx>
        <c:axId val="52452352"/>
        <c:scaling>
          <c:orientation val="minMax"/>
        </c:scaling>
        <c:axPos val="b"/>
        <c:numFmt formatCode="General" sourceLinked="1"/>
        <c:tickLblPos val="nextTo"/>
        <c:crossAx val="124510592"/>
        <c:crosses val="autoZero"/>
        <c:crossBetween val="midCat"/>
      </c:valAx>
      <c:valAx>
        <c:axId val="124510592"/>
        <c:scaling>
          <c:orientation val="minMax"/>
        </c:scaling>
        <c:axPos val="l"/>
        <c:majorGridlines/>
        <c:numFmt formatCode="General" sourceLinked="1"/>
        <c:tickLblPos val="nextTo"/>
        <c:crossAx val="52452352"/>
        <c:crosses val="autoZero"/>
        <c:crossBetween val="midCat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es-E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style val="13"/>
  <c:chart>
    <c:plotArea>
      <c:layout/>
      <c:scatterChart>
        <c:scatterStyle val="smoothMarker"/>
        <c:ser>
          <c:idx val="0"/>
          <c:order val="0"/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Hoja1!$L$51:$L$57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1535</c:v>
                </c:pt>
                <c:pt idx="4">
                  <c:v>4145</c:v>
                </c:pt>
                <c:pt idx="5">
                  <c:v>11192</c:v>
                </c:pt>
                <c:pt idx="6">
                  <c:v>30219</c:v>
                </c:pt>
              </c:numCache>
            </c:numRef>
          </c:yVal>
          <c:smooth val="1"/>
        </c:ser>
        <c:axId val="138226304"/>
        <c:axId val="156429696"/>
      </c:scatterChart>
      <c:valAx>
        <c:axId val="138226304"/>
        <c:scaling>
          <c:orientation val="minMax"/>
        </c:scaling>
        <c:axPos val="b"/>
        <c:numFmt formatCode="General" sourceLinked="1"/>
        <c:tickLblPos val="nextTo"/>
        <c:crossAx val="156429696"/>
        <c:crosses val="autoZero"/>
        <c:crossBetween val="midCat"/>
      </c:valAx>
      <c:valAx>
        <c:axId val="156429696"/>
        <c:scaling>
          <c:orientation val="minMax"/>
        </c:scaling>
        <c:axPos val="l"/>
        <c:majorGridlines/>
        <c:numFmt formatCode="General" sourceLinked="1"/>
        <c:tickLblPos val="nextTo"/>
        <c:crossAx val="138226304"/>
        <c:crosses val="autoZero"/>
        <c:crossBetween val="midCat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11"/>
  <c:chart>
    <c:plotArea>
      <c:layout>
        <c:manualLayout>
          <c:layoutTarget val="inner"/>
          <c:xMode val="edge"/>
          <c:yMode val="edge"/>
          <c:x val="9.9609297106103153E-2"/>
          <c:y val="5.1400554097404488E-2"/>
          <c:w val="0.79721921581624711"/>
          <c:h val="0.75655839895013122"/>
        </c:manualLayout>
      </c:layout>
      <c:scatterChart>
        <c:scatterStyle val="smoothMarker"/>
        <c:ser>
          <c:idx val="0"/>
          <c:order val="0"/>
          <c:tx>
            <c:v>protección</c:v>
          </c:tx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Hoja1!$L$51:$L$57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1535</c:v>
                </c:pt>
                <c:pt idx="4">
                  <c:v>4145</c:v>
                </c:pt>
                <c:pt idx="5">
                  <c:v>11192</c:v>
                </c:pt>
                <c:pt idx="6">
                  <c:v>30219</c:v>
                </c:pt>
              </c:numCache>
            </c:numRef>
          </c:yVal>
          <c:smooth val="1"/>
        </c:ser>
        <c:ser>
          <c:idx val="1"/>
          <c:order val="1"/>
          <c:tx>
            <c:v>protección y refuerzo fracasado</c:v>
          </c:tx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Hoja1!$M$51:$M$57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3868</c:v>
                </c:pt>
                <c:pt idx="4">
                  <c:v>6478</c:v>
                </c:pt>
                <c:pt idx="5">
                  <c:v>13525</c:v>
                </c:pt>
                <c:pt idx="6">
                  <c:v>32552</c:v>
                </c:pt>
              </c:numCache>
            </c:numRef>
          </c:yVal>
          <c:smooth val="1"/>
        </c:ser>
        <c:axId val="174848256"/>
        <c:axId val="175034368"/>
      </c:scatterChart>
      <c:valAx>
        <c:axId val="174848256"/>
        <c:scaling>
          <c:orientation val="minMax"/>
        </c:scaling>
        <c:axPos val="b"/>
        <c:numFmt formatCode="General" sourceLinked="1"/>
        <c:tickLblPos val="nextTo"/>
        <c:crossAx val="175034368"/>
        <c:crosses val="autoZero"/>
        <c:crossBetween val="midCat"/>
      </c:valAx>
      <c:valAx>
        <c:axId val="175034368"/>
        <c:scaling>
          <c:orientation val="minMax"/>
        </c:scaling>
        <c:axPos val="l"/>
        <c:majorGridlines/>
        <c:numFmt formatCode="General" sourceLinked="1"/>
        <c:tickLblPos val="nextTo"/>
        <c:crossAx val="17484825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27434912633214"/>
          <c:y val="0.91163039706424054"/>
          <c:w val="0.6004138067609065"/>
          <c:h val="8.8171147255556984E-2"/>
        </c:manualLayout>
      </c:layout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4032999876177626"/>
          <c:y val="6.6989453850818337E-2"/>
          <c:w val="0.81093790016048062"/>
          <c:h val="0.61895531366015555"/>
        </c:manualLayout>
      </c:layout>
      <c:scatterChart>
        <c:scatterStyle val="smoothMarker"/>
        <c:ser>
          <c:idx val="0"/>
          <c:order val="0"/>
          <c:tx>
            <c:v>Protección</c:v>
          </c:tx>
          <c:spPr>
            <a:ln w="22225"/>
          </c:spPr>
          <c:marker>
            <c:symbol val="circle"/>
            <c:size val="5"/>
            <c:spPr>
              <a:ln>
                <a:solidFill>
                  <a:srgbClr val="FF388C">
                    <a:shade val="95000"/>
                    <a:satMod val="105000"/>
                  </a:srgbClr>
                </a:solidFill>
              </a:ln>
            </c:spPr>
          </c:marker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Hoja1!$L$51:$L$57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1535</c:v>
                </c:pt>
                <c:pt idx="4">
                  <c:v>4145</c:v>
                </c:pt>
                <c:pt idx="5">
                  <c:v>11192</c:v>
                </c:pt>
                <c:pt idx="6">
                  <c:v>30219</c:v>
                </c:pt>
              </c:numCache>
            </c:numRef>
          </c:yVal>
          <c:smooth val="1"/>
        </c:ser>
        <c:ser>
          <c:idx val="1"/>
          <c:order val="1"/>
          <c:tx>
            <c:v>Protección + Refuerzo (mueren)</c:v>
          </c:tx>
          <c:spPr>
            <a:ln>
              <a:solidFill>
                <a:srgbClr val="FFFF00"/>
              </a:solidFill>
            </a:ln>
          </c:spPr>
          <c:marker>
            <c:symbol val="circle"/>
            <c:size val="7"/>
            <c:spPr>
              <a:solidFill>
                <a:srgbClr val="FFFF00"/>
              </a:solidFill>
              <a:ln>
                <a:solidFill>
                  <a:srgbClr val="FFFF00"/>
                </a:solidFill>
              </a:ln>
            </c:spPr>
          </c:marker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Hoja1!$M$51:$M$57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3868</c:v>
                </c:pt>
                <c:pt idx="4">
                  <c:v>6478</c:v>
                </c:pt>
                <c:pt idx="5">
                  <c:v>13525</c:v>
                </c:pt>
                <c:pt idx="6">
                  <c:v>32552</c:v>
                </c:pt>
              </c:numCache>
            </c:numRef>
          </c:yVal>
          <c:smooth val="1"/>
        </c:ser>
        <c:ser>
          <c:idx val="2"/>
          <c:order val="2"/>
          <c:tx>
            <c:v>Protección + Refuerzo (funciona)</c:v>
          </c:tx>
          <c:spPr>
            <a:ln>
              <a:solidFill>
                <a:srgbClr val="92D050"/>
              </a:solidFill>
            </a:ln>
          </c:spPr>
          <c:marker>
            <c:spPr>
              <a:solidFill>
                <a:srgbClr val="92D050"/>
              </a:solidFill>
              <a:ln>
                <a:solidFill>
                  <a:srgbClr val="92D050"/>
                </a:solidFill>
              </a:ln>
            </c:spPr>
          </c:marker>
          <c:xVal>
            <c:numRef>
              <c:f>Hoja1!$K$51:$K$57</c:f>
              <c:numCache>
                <c:formatCode>General</c:formatCode>
                <c:ptCount val="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</c:numCache>
            </c:numRef>
          </c:xVal>
          <c:yVal>
            <c:numRef>
              <c:f>Hoja1!$N$51:$N$57</c:f>
              <c:numCache>
                <c:formatCode>General</c:formatCode>
                <c:ptCount val="7"/>
                <c:pt idx="0">
                  <c:v>78</c:v>
                </c:pt>
                <c:pt idx="1">
                  <c:v>211</c:v>
                </c:pt>
                <c:pt idx="2">
                  <c:v>569</c:v>
                </c:pt>
                <c:pt idx="3">
                  <c:v>3868</c:v>
                </c:pt>
                <c:pt idx="4" formatCode="0">
                  <c:v>12776.6</c:v>
                </c:pt>
                <c:pt idx="5" formatCode="0">
                  <c:v>36829.82</c:v>
                </c:pt>
                <c:pt idx="6" formatCode="0">
                  <c:v>101773.51400000001</c:v>
                </c:pt>
              </c:numCache>
            </c:numRef>
          </c:yVal>
          <c:smooth val="1"/>
        </c:ser>
        <c:axId val="175153152"/>
        <c:axId val="177418624"/>
      </c:scatterChart>
      <c:valAx>
        <c:axId val="175153152"/>
        <c:scaling>
          <c:orientation val="minMax"/>
        </c:scaling>
        <c:axPos val="b"/>
        <c:numFmt formatCode="General" sourceLinked="1"/>
        <c:tickLblPos val="nextTo"/>
        <c:crossAx val="177418624"/>
        <c:crosses val="autoZero"/>
        <c:crossBetween val="midCat"/>
      </c:valAx>
      <c:valAx>
        <c:axId val="177418624"/>
        <c:scaling>
          <c:orientation val="minMax"/>
        </c:scaling>
        <c:axPos val="l"/>
        <c:majorGridlines/>
        <c:numFmt formatCode="General" sourceLinked="1"/>
        <c:tickLblPos val="nextTo"/>
        <c:crossAx val="175153152"/>
        <c:crosses val="autoZero"/>
        <c:crossBetween val="midCat"/>
      </c:valAx>
      <c:spPr>
        <a:noFill/>
      </c:spPr>
    </c:plotArea>
    <c:legend>
      <c:legendPos val="r"/>
      <c:layout>
        <c:manualLayout>
          <c:xMode val="edge"/>
          <c:yMode val="edge"/>
          <c:x val="6.9984930898213976E-2"/>
          <c:y val="0.78135985127431351"/>
          <c:w val="0.87162170227183355"/>
          <c:h val="0.19254448981974051"/>
        </c:manualLayout>
      </c:layout>
      <c:spPr>
        <a:ln>
          <a:solidFill>
            <a:schemeClr val="accent1"/>
          </a:solidFill>
        </a:ln>
      </c:spPr>
      <c:txPr>
        <a:bodyPr/>
        <a:lstStyle/>
        <a:p>
          <a:pPr>
            <a:defRPr>
              <a:solidFill>
                <a:sysClr val="windowText" lastClr="000000"/>
              </a:solidFill>
            </a:defRPr>
          </a:pPr>
          <a:endParaRPr lang="es-ES"/>
        </a:p>
      </c:txPr>
    </c:legend>
    <c:plotVisOnly val="1"/>
  </c:chart>
  <c:spPr>
    <a:noFill/>
  </c:spPr>
  <c:txPr>
    <a:bodyPr/>
    <a:lstStyle/>
    <a:p>
      <a:pPr>
        <a:defRPr sz="1200">
          <a:solidFill>
            <a:sysClr val="windowText" lastClr="000000"/>
          </a:solidFill>
        </a:defRPr>
      </a:pPr>
      <a:endParaRPr lang="es-ES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528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Ufra</dc:creator>
  <cp:lastModifiedBy>Ufra</cp:lastModifiedBy>
  <cp:revision>12</cp:revision>
  <dcterms:created xsi:type="dcterms:W3CDTF">2010-06-18T08:00:00Z</dcterms:created>
  <dcterms:modified xsi:type="dcterms:W3CDTF">2010-06-18T19:31:00Z</dcterms:modified>
</cp:coreProperties>
</file>